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lang w:val="en-US" w:eastAsia="zh-CN"/>
        </w:rPr>
        <w:t>10bis</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404686</w:t>
      </w:r>
      <w:bookmarkStart w:id="9" w:name="_GoBack"/>
      <w:bookmarkEnd w:id="9"/>
    </w:p>
    <w:p>
      <w:pPr>
        <w:pStyle w:val="74"/>
        <w:outlineLvl w:val="0"/>
        <w:rPr>
          <w:rFonts w:hint="eastAsia" w:eastAsiaTheme="minorEastAsia"/>
          <w:b/>
          <w:sz w:val="24"/>
          <w:lang w:val="en-US" w:eastAsia="zh-CN"/>
        </w:rPr>
      </w:pPr>
      <w:bookmarkStart w:id="1" w:name="_Hlk130672791"/>
      <w:r>
        <w:rPr>
          <w:rFonts w:hint="eastAsia"/>
          <w:b/>
          <w:sz w:val="24"/>
          <w:lang w:val="en-US" w:eastAsia="zh-CN"/>
        </w:rPr>
        <w:t>ChangSha, China, 15 - 19 Apr, 2024</w:t>
      </w:r>
    </w:p>
    <w:bookmarkEnd w:id="1"/>
    <w:p>
      <w:pPr>
        <w:tabs>
          <w:tab w:val="left" w:pos="1985"/>
        </w:tabs>
        <w:rPr>
          <w:b/>
          <w:sz w:val="22"/>
        </w:rPr>
      </w:pPr>
    </w:p>
    <w:p>
      <w:pPr>
        <w:tabs>
          <w:tab w:val="left" w:pos="1765"/>
          <w:tab w:val="center" w:pos="4557"/>
        </w:tabs>
        <w:rPr>
          <w:rFonts w:hint="default" w:eastAsiaTheme="minorEastAsia"/>
          <w:b/>
          <w:sz w:val="22"/>
          <w:lang w:val="en-US" w:eastAsia="zh-CN"/>
        </w:rPr>
      </w:pPr>
      <w:r>
        <w:rPr>
          <w:b/>
          <w:sz w:val="22"/>
        </w:rPr>
        <w:t>Agenda Item:</w:t>
      </w:r>
      <w:r>
        <w:rPr>
          <w:b/>
          <w:sz w:val="22"/>
        </w:rPr>
        <w:tab/>
      </w:r>
      <w:r>
        <w:rPr>
          <w:rFonts w:hint="eastAsia"/>
          <w:sz w:val="22"/>
          <w:highlight w:val="none"/>
          <w:lang w:val="en-US" w:eastAsia="zh-CN"/>
        </w:rPr>
        <w:t>6.24.3.1</w:t>
      </w:r>
    </w:p>
    <w:p>
      <w:pPr>
        <w:tabs>
          <w:tab w:val="left" w:pos="1765"/>
        </w:tabs>
        <w:rPr>
          <w:sz w:val="22"/>
        </w:rPr>
      </w:pPr>
      <w:r>
        <w:rPr>
          <w:b/>
          <w:sz w:val="22"/>
        </w:rPr>
        <w:t xml:space="preserve">Source: </w:t>
      </w:r>
      <w:r>
        <w:rPr>
          <w:b/>
          <w:sz w:val="22"/>
        </w:rPr>
        <w:tab/>
      </w:r>
      <w:bookmarkStart w:id="2" w:name="_Hlk41145958"/>
      <w:r>
        <w:rPr>
          <w:sz w:val="22"/>
        </w:rPr>
        <w:t>CMCC</w:t>
      </w:r>
      <w:bookmarkEnd w:id="2"/>
      <w:r>
        <w:rPr>
          <w:sz w:val="22"/>
        </w:rPr>
        <w:t xml:space="preserve"> </w:t>
      </w:r>
    </w:p>
    <w:p>
      <w:pPr>
        <w:rPr>
          <w:sz w:val="22"/>
        </w:rPr>
      </w:pPr>
      <w:r>
        <w:rPr>
          <w:b/>
          <w:sz w:val="22"/>
        </w:rPr>
        <w:t xml:space="preserve">Title: </w:t>
      </w:r>
      <w:r>
        <w:rPr>
          <w:b/>
          <w:sz w:val="22"/>
        </w:rPr>
        <w:tab/>
      </w:r>
      <w:r>
        <w:rPr>
          <w:b/>
          <w:sz w:val="22"/>
        </w:rPr>
        <w:tab/>
      </w:r>
      <w:r>
        <w:rPr>
          <w:b/>
          <w:sz w:val="22"/>
        </w:rPr>
        <w:tab/>
      </w:r>
      <w:bookmarkStart w:id="3" w:name="_Hlk41145953"/>
      <w:bookmarkStart w:id="4" w:name="OLE_LINK7"/>
      <w:bookmarkStart w:id="5" w:name="OLE_LINK8"/>
      <w:r>
        <w:rPr>
          <w:sz w:val="22"/>
        </w:rPr>
        <w:t xml:space="preserve"> </w:t>
      </w:r>
      <w:bookmarkEnd w:id="3"/>
      <w:r>
        <w:rPr>
          <w:rFonts w:hint="eastAsia"/>
          <w:sz w:val="22"/>
        </w:rPr>
        <w:t>(Netw_Energy_NR-Perf) Discussion on RRM performance requirements for SSB-less SCell</w:t>
      </w:r>
    </w:p>
    <w:bookmarkEnd w:id="4"/>
    <w:bookmarkEnd w:id="5"/>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In last meeting, RAN4 agreed the test case list and a few test configurations for FR1 inter-band SSB-less activation, the WF has been approved [1]. In this contribution, we provide our views on the FFS specific test configuration.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6" w:name="_Hlk70326378"/>
      <w:bookmarkStart w:id="7" w:name="OLE_LINK1"/>
      <w:bookmarkStart w:id="8" w:name="OLE_LINK2"/>
      <w:r>
        <w:rPr>
          <w:rFonts w:ascii="Times New Roman" w:hAnsi="Times New Roman"/>
          <w:b w:val="0"/>
          <w:bCs w:val="0"/>
          <w:kern w:val="0"/>
          <w:sz w:val="36"/>
          <w:szCs w:val="36"/>
        </w:rPr>
        <w:t>D</w:t>
      </w:r>
      <w:r>
        <w:rPr>
          <w:rFonts w:hint="eastAsia" w:ascii="Times New Roman" w:hAnsi="Times New Roman"/>
          <w:b w:val="0"/>
          <w:bCs w:val="0"/>
          <w:kern w:val="0"/>
          <w:sz w:val="36"/>
          <w:szCs w:val="36"/>
        </w:rPr>
        <w:t>iscussion</w:t>
      </w:r>
    </w:p>
    <w:p>
      <w:pPr>
        <w:rPr>
          <w:b/>
          <w:i/>
          <w:iCs/>
          <w:sz w:val="20"/>
          <w:szCs w:val="20"/>
          <w:u w:val="single"/>
          <w:lang w:eastAsia="ko-KR"/>
        </w:rPr>
      </w:pPr>
      <w:r>
        <w:rPr>
          <w:b/>
          <w:i/>
          <w:iCs/>
          <w:sz w:val="20"/>
          <w:szCs w:val="20"/>
          <w:u w:val="single"/>
          <w:lang w:eastAsia="ko-KR"/>
        </w:rPr>
        <w:t>Issue 3-1-2: Detailed configurations for  FR1 inter-band SSB-less activation/deactivation</w:t>
      </w:r>
    </w:p>
    <w:p>
      <w:pPr>
        <w:spacing w:after="120"/>
        <w:rPr>
          <w:i/>
          <w:iCs/>
          <w:sz w:val="20"/>
          <w:szCs w:val="20"/>
          <w:highlight w:val="green"/>
          <w:lang w:eastAsia="zh-CN"/>
        </w:rPr>
      </w:pPr>
      <w:r>
        <w:rPr>
          <w:i/>
          <w:iCs/>
          <w:sz w:val="20"/>
          <w:szCs w:val="20"/>
          <w:highlight w:val="green"/>
          <w:lang w:eastAsia="zh-CN"/>
        </w:rPr>
        <w:t>Agreement:</w:t>
      </w:r>
    </w:p>
    <w:p>
      <w:pPr>
        <w:pStyle w:val="76"/>
        <w:numPr>
          <w:ilvl w:val="0"/>
          <w:numId w:val="4"/>
        </w:numPr>
        <w:spacing w:after="120"/>
        <w:ind w:firstLineChars="0"/>
        <w:rPr>
          <w:i/>
          <w:iCs/>
          <w:sz w:val="20"/>
          <w:szCs w:val="20"/>
          <w:lang w:eastAsia="zh-CN"/>
        </w:rPr>
      </w:pPr>
      <w:r>
        <w:rPr>
          <w:i/>
          <w:iCs/>
          <w:sz w:val="20"/>
          <w:szCs w:val="20"/>
          <w:lang w:eastAsia="zh-CN"/>
        </w:rPr>
        <w:t>Test cases for FR1 inter-band SSB-less activation based on TRS/A-TRS in non-DRX need to be defined</w:t>
      </w:r>
    </w:p>
    <w:p>
      <w:pPr>
        <w:pStyle w:val="76"/>
        <w:numPr>
          <w:ilvl w:val="0"/>
          <w:numId w:val="4"/>
        </w:numPr>
        <w:spacing w:after="120"/>
        <w:ind w:firstLineChars="0"/>
        <w:rPr>
          <w:i/>
          <w:iCs/>
          <w:sz w:val="20"/>
          <w:szCs w:val="20"/>
          <w:lang w:eastAsia="zh-CN"/>
        </w:rPr>
      </w:pPr>
      <w:r>
        <w:rPr>
          <w:rFonts w:hint="eastAsia"/>
          <w:i/>
          <w:iCs/>
          <w:sz w:val="20"/>
          <w:szCs w:val="20"/>
          <w:lang w:eastAsia="zh-CN"/>
        </w:rPr>
        <w:t>The legacy R15 test scenario configuration can be reused. For PCell and SCell, the combinations of any two configurations among 15kHz/≥10MHz FDD, 15kHz/≥10MHz TDD and 30kHz/≥40MHz TDD are supported</w:t>
      </w:r>
    </w:p>
    <w:p>
      <w:pPr>
        <w:pStyle w:val="76"/>
        <w:numPr>
          <w:ilvl w:val="0"/>
          <w:numId w:val="4"/>
        </w:numPr>
        <w:spacing w:after="120"/>
        <w:ind w:firstLineChars="0"/>
        <w:rPr>
          <w:i/>
          <w:iCs/>
          <w:sz w:val="20"/>
          <w:szCs w:val="20"/>
          <w:lang w:eastAsia="zh-CN"/>
        </w:rPr>
      </w:pPr>
      <w:r>
        <w:rPr>
          <w:i/>
          <w:iCs/>
          <w:sz w:val="20"/>
          <w:szCs w:val="20"/>
          <w:lang w:eastAsia="zh-CN"/>
        </w:rPr>
        <w:t>Reuse the TRS and A-TRS configuration in legacy Fast SCell activation test case for SSB-less SCell</w:t>
      </w:r>
    </w:p>
    <w:p>
      <w:pPr>
        <w:pStyle w:val="76"/>
        <w:numPr>
          <w:ilvl w:val="0"/>
          <w:numId w:val="0"/>
        </w:numPr>
        <w:overflowPunct/>
        <w:autoSpaceDE/>
        <w:autoSpaceDN/>
        <w:adjustRightInd/>
        <w:spacing w:after="120"/>
        <w:textAlignment w:val="auto"/>
        <w:rPr>
          <w:rFonts w:eastAsia="宋体"/>
          <w:i/>
          <w:iCs/>
          <w:sz w:val="20"/>
          <w:szCs w:val="20"/>
          <w:highlight w:val="yellow"/>
          <w:lang w:eastAsia="zh-CN"/>
        </w:rPr>
      </w:pPr>
      <w:r>
        <w:rPr>
          <w:rFonts w:eastAsia="宋体"/>
          <w:i/>
          <w:iCs/>
          <w:sz w:val="20"/>
          <w:szCs w:val="20"/>
          <w:highlight w:val="yellow"/>
          <w:lang w:eastAsia="zh-CN"/>
        </w:rPr>
        <w:t>Proposals</w:t>
      </w:r>
    </w:p>
    <w:p>
      <w:pPr>
        <w:spacing w:after="120"/>
        <w:ind w:left="436" w:firstLine="284"/>
        <w:rPr>
          <w:b/>
          <w:sz w:val="20"/>
          <w:szCs w:val="20"/>
          <w:u w:val="single"/>
          <w:lang w:eastAsia="zh-CN"/>
        </w:rPr>
      </w:pPr>
      <w:r>
        <w:rPr>
          <w:b/>
          <w:sz w:val="20"/>
          <w:szCs w:val="20"/>
          <w:u w:val="single"/>
          <w:lang w:eastAsia="zh-CN"/>
        </w:rPr>
        <w:t>RTD</w:t>
      </w:r>
    </w:p>
    <w:p>
      <w:pPr>
        <w:pStyle w:val="76"/>
        <w:numPr>
          <w:ilvl w:val="1"/>
          <w:numId w:val="5"/>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Option 1: 4µs for SCell 15kHz SCS and 2µs for SCell 30kHz SCS. (CMCC)</w:t>
      </w:r>
    </w:p>
    <w:p>
      <w:pPr>
        <w:pStyle w:val="76"/>
        <w:numPr>
          <w:ilvl w:val="1"/>
          <w:numId w:val="5"/>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Option 2: RAN4 to define the following test cases with RTD&lt;=CP corresponding to the SCS of SSB-less Cell. (Ericsson, Huawei)</w:t>
      </w:r>
    </w:p>
    <w:p>
      <w:pPr>
        <w:spacing w:after="120"/>
        <w:ind w:left="436" w:firstLine="284"/>
        <w:rPr>
          <w:b/>
          <w:sz w:val="20"/>
          <w:szCs w:val="20"/>
          <w:u w:val="single"/>
          <w:lang w:eastAsia="zh-CN"/>
        </w:rPr>
      </w:pPr>
      <w:r>
        <w:rPr>
          <w:b/>
          <w:sz w:val="20"/>
          <w:szCs w:val="20"/>
          <w:u w:val="single"/>
          <w:lang w:eastAsia="zh-CN"/>
        </w:rPr>
        <w:t>Power difference</w:t>
      </w:r>
    </w:p>
    <w:p>
      <w:pPr>
        <w:pStyle w:val="76"/>
        <w:numPr>
          <w:ilvl w:val="1"/>
          <w:numId w:val="5"/>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Option 1: Set EPRE difference between PCell and SSB-less SCell as 9dB. (CMCC)</w:t>
      </w:r>
    </w:p>
    <w:p>
      <w:pPr>
        <w:pStyle w:val="76"/>
        <w:numPr>
          <w:ilvl w:val="2"/>
          <w:numId w:val="5"/>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Option 1a: The EPRE difference between the reference Cell and SSB-less Cell is configured as 9 dB + ΔPL in the test cases, where ΔPL is the pathloss difference caused by frequency difference between two Cells. (Huawei)</w:t>
      </w:r>
    </w:p>
    <w:p>
      <w:pPr>
        <w:pStyle w:val="76"/>
        <w:numPr>
          <w:ilvl w:val="2"/>
          <w:numId w:val="5"/>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Option 1b: Configure the target inter-band SSB-less SCell to have a power level that is [&lt; 9 dB] higher than that of the PCell and use an AWGN channel for the setup. (MTK)</w:t>
      </w:r>
    </w:p>
    <w:p>
      <w:pPr>
        <w:spacing w:after="120"/>
        <w:ind w:left="436" w:firstLine="284"/>
        <w:rPr>
          <w:b/>
          <w:sz w:val="20"/>
          <w:szCs w:val="20"/>
          <w:u w:val="single"/>
          <w:lang w:eastAsia="zh-CN"/>
        </w:rPr>
      </w:pPr>
      <w:r>
        <w:rPr>
          <w:b/>
          <w:sz w:val="20"/>
          <w:szCs w:val="20"/>
          <w:u w:val="single"/>
          <w:lang w:eastAsia="zh-CN"/>
        </w:rPr>
        <w:t>Others:</w:t>
      </w:r>
    </w:p>
    <w:p>
      <w:pPr>
        <w:pStyle w:val="76"/>
        <w:numPr>
          <w:ilvl w:val="1"/>
          <w:numId w:val="5"/>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Option 1</w:t>
      </w:r>
      <w:r>
        <w:rPr>
          <w:rFonts w:hint="eastAsia" w:eastAsia="宋体"/>
          <w:sz w:val="20"/>
          <w:szCs w:val="20"/>
          <w:lang w:eastAsia="zh-CN"/>
        </w:rPr>
        <w:t>:  Don</w:t>
      </w:r>
      <w:r>
        <w:rPr>
          <w:rFonts w:eastAsia="宋体"/>
          <w:sz w:val="20"/>
          <w:szCs w:val="20"/>
          <w:lang w:eastAsia="zh-CN"/>
        </w:rPr>
        <w:t>’</w:t>
      </w:r>
      <w:r>
        <w:rPr>
          <w:rFonts w:hint="eastAsia" w:eastAsia="宋体"/>
          <w:sz w:val="20"/>
          <w:szCs w:val="20"/>
          <w:lang w:eastAsia="zh-CN"/>
        </w:rPr>
        <w:t>t configure the parameter SCell measurement cycle (measCycleSCell).</w:t>
      </w:r>
      <w:r>
        <w:rPr>
          <w:rFonts w:eastAsia="宋体"/>
          <w:sz w:val="20"/>
          <w:szCs w:val="20"/>
          <w:lang w:eastAsia="zh-CN"/>
        </w:rPr>
        <w:t xml:space="preserve"> (CMCC)</w:t>
      </w:r>
    </w:p>
    <w:p>
      <w:pPr>
        <w:pStyle w:val="76"/>
        <w:numPr>
          <w:ilvl w:val="1"/>
          <w:numId w:val="5"/>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Option 2</w:t>
      </w:r>
      <w:r>
        <w:rPr>
          <w:rFonts w:hint="eastAsia" w:eastAsia="宋体"/>
          <w:sz w:val="20"/>
          <w:szCs w:val="20"/>
          <w:lang w:eastAsia="zh-CN"/>
        </w:rPr>
        <w:t>:  Design two time periods (T1 and T2) to verify the SCell activation procedure for inter-band CA SSB-less SCell. 7s for T1 and 1s for T2 can be the starting point.</w:t>
      </w:r>
      <w:r>
        <w:rPr>
          <w:rFonts w:eastAsia="宋体"/>
          <w:sz w:val="20"/>
          <w:szCs w:val="20"/>
          <w:lang w:eastAsia="zh-CN"/>
        </w:rPr>
        <w:t xml:space="preserve"> (CMCC)</w:t>
      </w:r>
    </w:p>
    <w:p>
      <w:pPr>
        <w:pStyle w:val="76"/>
        <w:numPr>
          <w:ilvl w:val="1"/>
          <w:numId w:val="5"/>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Option 3</w:t>
      </w:r>
      <w:r>
        <w:rPr>
          <w:rFonts w:hint="eastAsia" w:eastAsia="宋体"/>
          <w:sz w:val="20"/>
          <w:szCs w:val="20"/>
          <w:lang w:eastAsia="zh-CN"/>
        </w:rPr>
        <w:t xml:space="preserve">:  The TCI.State.2 could be used for the RS(s) of the SSB-less SCell. </w:t>
      </w:r>
      <w:r>
        <w:rPr>
          <w:rFonts w:eastAsia="宋体"/>
          <w:sz w:val="20"/>
          <w:szCs w:val="20"/>
          <w:lang w:eastAsia="zh-CN"/>
        </w:rPr>
        <w:t>(CMCC)</w:t>
      </w:r>
    </w:p>
    <w:p>
      <w:pPr>
        <w:pStyle w:val="76"/>
        <w:numPr>
          <w:ilvl w:val="1"/>
          <w:numId w:val="5"/>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Option 4</w:t>
      </w:r>
      <w:r>
        <w:rPr>
          <w:rFonts w:hint="eastAsia" w:eastAsia="宋体"/>
          <w:sz w:val="20"/>
          <w:szCs w:val="20"/>
          <w:lang w:eastAsia="zh-CN"/>
        </w:rPr>
        <w:t>: The TCI.State.0 could be used for the TRS of the SSB-less SCell with an additional note that the reference signal is SSB0 from PCell.</w:t>
      </w:r>
      <w:r>
        <w:rPr>
          <w:rFonts w:eastAsia="宋体"/>
          <w:sz w:val="20"/>
          <w:szCs w:val="20"/>
          <w:lang w:eastAsia="zh-CN"/>
        </w:rPr>
        <w:t xml:space="preserve"> (CMCC)</w:t>
      </w:r>
    </w:p>
    <w:p>
      <w:pPr>
        <w:pStyle w:val="76"/>
        <w:numPr>
          <w:ilvl w:val="1"/>
          <w:numId w:val="5"/>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Option 5</w:t>
      </w:r>
      <w:r>
        <w:rPr>
          <w:rFonts w:hint="eastAsia" w:eastAsia="宋体"/>
          <w:sz w:val="20"/>
          <w:szCs w:val="20"/>
          <w:lang w:eastAsia="zh-CN"/>
        </w:rPr>
        <w:t>:  Don</w:t>
      </w:r>
      <w:r>
        <w:rPr>
          <w:rFonts w:eastAsia="宋体"/>
          <w:sz w:val="20"/>
          <w:szCs w:val="20"/>
          <w:lang w:eastAsia="zh-CN"/>
        </w:rPr>
        <w:t>’</w:t>
      </w:r>
      <w:r>
        <w:rPr>
          <w:rFonts w:hint="eastAsia" w:eastAsia="宋体"/>
          <w:sz w:val="20"/>
          <w:szCs w:val="20"/>
          <w:lang w:eastAsia="zh-CN"/>
        </w:rPr>
        <w:t>t configure the parameter SSB configuration and SMTC configuration for SSB-less SCell.</w:t>
      </w:r>
      <w:r>
        <w:rPr>
          <w:rFonts w:eastAsia="宋体"/>
          <w:sz w:val="20"/>
          <w:szCs w:val="20"/>
          <w:lang w:eastAsia="zh-CN"/>
        </w:rPr>
        <w:t xml:space="preserve"> (CMCC)</w:t>
      </w:r>
    </w:p>
    <w:p>
      <w:pPr>
        <w:pStyle w:val="76"/>
        <w:numPr>
          <w:ilvl w:val="1"/>
          <w:numId w:val="5"/>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Option 6: For configuration of the TC for SSB-less SCell operation, it is suggested to test the scenario where both timing reference cell indication and QCL-C configuration are available for the UE. (Vivo)</w:t>
      </w:r>
    </w:p>
    <w:p>
      <w:pPr>
        <w:keepNext w:val="0"/>
        <w:keepLines w:val="0"/>
        <w:pageBreakBefore w:val="0"/>
        <w:widowControl/>
        <w:kinsoku/>
        <w:wordWrap/>
        <w:overflowPunct w:val="0"/>
        <w:topLinePunct w:val="0"/>
        <w:autoSpaceDE w:val="0"/>
        <w:autoSpaceDN w:val="0"/>
        <w:bidi w:val="0"/>
        <w:adjustRightInd w:val="0"/>
        <w:snapToGrid/>
        <w:spacing w:before="313" w:beforeLines="100" w:after="60"/>
        <w:jc w:val="both"/>
        <w:textAlignment w:val="baseline"/>
        <w:rPr>
          <w:rFonts w:hint="default" w:eastAsia="宋体"/>
          <w:b/>
          <w:i w:val="0"/>
          <w:iCs w:val="0"/>
          <w:sz w:val="20"/>
          <w:szCs w:val="20"/>
          <w:u w:val="single"/>
          <w:lang w:val="en-US" w:eastAsia="zh-CN"/>
        </w:rPr>
      </w:pPr>
      <w:r>
        <w:rPr>
          <w:rFonts w:hint="eastAsia" w:eastAsia="宋体"/>
          <w:b/>
          <w:i w:val="0"/>
          <w:iCs w:val="0"/>
          <w:sz w:val="20"/>
          <w:szCs w:val="20"/>
          <w:u w:val="single"/>
          <w:lang w:val="en-US" w:eastAsia="zh-CN"/>
        </w:rPr>
        <w:t>RTD</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Option 1 and Option 2 are not conflict options. We support the general guidance in Option 2, however, a specific value should be defined in the test configuration.</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cs="Times New Roman"/>
          <w:sz w:val="20"/>
          <w:szCs w:val="20"/>
          <w:lang w:val="en-US" w:eastAsia="zh-CN" w:bidi="ar-SA"/>
        </w:rPr>
      </w:pPr>
      <w:r>
        <w:rPr>
          <w:rFonts w:hint="eastAsia" w:eastAsia="宋体" w:cs="Times New Roman"/>
          <w:sz w:val="20"/>
          <w:szCs w:val="20"/>
          <w:lang w:val="en-US" w:eastAsia="zh-CN" w:bidi="ar-SA"/>
        </w:rPr>
        <w:t>Since conducted test will be applied for FR1 test, the propagation scenario will not contribute to RTD. Therefore, for the timing offset from Cell 2 (SSB-less SCell) to Cell 1 (PCell), we can consider the worst case of receiving timing difference (CP=4.7µs for 15kHz and 2.3µs for 30kHz). We propose 4µs for SCell 15kHz SCS and 2µs for SCell 30kHz SCS to leave a margin for potential extra error from RF and TE.</w:t>
      </w:r>
    </w:p>
    <w:p>
      <w:pPr>
        <w:overflowPunct/>
        <w:autoSpaceDE/>
        <w:autoSpaceDN/>
        <w:adjustRightInd/>
        <w:spacing w:after="12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1: Generally, guarantee the RTD&lt;=CP corresponding to the SCS of SSB-less Cell. Specifically,  consider timing offset from Cell 2 to Cell 1 as 4µs for SCell 15kHz SCS and 2µs for SCell 30kHz SCS.</w:t>
      </w:r>
    </w:p>
    <w:p>
      <w:pPr>
        <w:keepNext w:val="0"/>
        <w:keepLines w:val="0"/>
        <w:pageBreakBefore w:val="0"/>
        <w:widowControl/>
        <w:kinsoku/>
        <w:wordWrap/>
        <w:overflowPunct w:val="0"/>
        <w:topLinePunct w:val="0"/>
        <w:autoSpaceDE w:val="0"/>
        <w:autoSpaceDN w:val="0"/>
        <w:bidi w:val="0"/>
        <w:adjustRightInd w:val="0"/>
        <w:snapToGrid/>
        <w:spacing w:before="313" w:beforeLines="100" w:after="60"/>
        <w:jc w:val="both"/>
        <w:textAlignment w:val="baseline"/>
        <w:rPr>
          <w:rFonts w:hint="eastAsia" w:eastAsia="宋体"/>
          <w:b/>
          <w:i w:val="0"/>
          <w:iCs w:val="0"/>
          <w:sz w:val="20"/>
          <w:szCs w:val="20"/>
          <w:u w:val="single"/>
          <w:lang w:val="en-US" w:eastAsia="zh-CN"/>
        </w:rPr>
      </w:pPr>
      <w:r>
        <w:rPr>
          <w:rFonts w:hint="eastAsia" w:eastAsia="宋体"/>
          <w:b/>
          <w:i w:val="0"/>
          <w:iCs w:val="0"/>
          <w:sz w:val="20"/>
          <w:szCs w:val="20"/>
          <w:u w:val="single"/>
          <w:lang w:val="en-US" w:eastAsia="zh-CN"/>
        </w:rPr>
        <w:t>Power difference</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 xml:space="preserve">Since conducted test will be applied for FR1 test, the carrier frequency and propagation scenario will not contribute to received power difference. However, the UE could not differentiate whether it is under the test or not, thus it will still pre-compensate the AGC according to the carrier frequency and so on. </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To make sure UE with correct implementation will pass the test case, and to verify that UE could adjust the AGC of SSB-less SCell according to PCell AGC information and other pre-compensation information, we propose to set EPRE difference as [</w:t>
      </w:r>
      <w:r>
        <w:rPr>
          <w:rFonts w:eastAsia="宋体"/>
          <w:sz w:val="20"/>
          <w:szCs w:val="20"/>
          <w:lang w:eastAsia="zh-CN"/>
        </w:rPr>
        <w:t>9 dB</w:t>
      </w:r>
      <w:r>
        <w:rPr>
          <w:rFonts w:hint="eastAsia" w:eastAsia="宋体"/>
          <w:sz w:val="20"/>
          <w:szCs w:val="20"/>
          <w:lang w:val="en-US" w:eastAsia="zh-CN"/>
        </w:rPr>
        <w:t>]</w:t>
      </w:r>
      <w:r>
        <w:rPr>
          <w:rFonts w:eastAsia="宋体"/>
          <w:sz w:val="20"/>
          <w:szCs w:val="20"/>
          <w:lang w:eastAsia="zh-CN"/>
        </w:rPr>
        <w:t xml:space="preserve"> + ΔPL in the test cases, where ΔPL is the pathloss difference caused by frequency difference between two Cells</w:t>
      </w:r>
      <w:r>
        <w:rPr>
          <w:rFonts w:hint="eastAsia" w:eastAsia="宋体"/>
          <w:sz w:val="20"/>
          <w:szCs w:val="20"/>
          <w:lang w:val="en-US" w:eastAsia="zh-CN"/>
        </w:rPr>
        <w:t>.</w:t>
      </w:r>
    </w:p>
    <w:p>
      <w:pPr>
        <w:overflowPunct/>
        <w:autoSpaceDE/>
        <w:autoSpaceDN/>
        <w:adjustRightInd/>
        <w:spacing w:after="120"/>
        <w:jc w:val="both"/>
        <w:textAlignment w:val="auto"/>
        <w:rPr>
          <w:rFonts w:hint="default"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2:  Set EPRE difference as [9 dB] + ΔPL in the test cases, where ΔPL is the pathloss difference caused by frequency difference between two Cells.</w:t>
      </w:r>
    </w:p>
    <w:p>
      <w:pPr>
        <w:keepNext w:val="0"/>
        <w:keepLines w:val="0"/>
        <w:pageBreakBefore w:val="0"/>
        <w:widowControl/>
        <w:kinsoku/>
        <w:wordWrap/>
        <w:overflowPunct w:val="0"/>
        <w:topLinePunct w:val="0"/>
        <w:autoSpaceDE w:val="0"/>
        <w:autoSpaceDN w:val="0"/>
        <w:bidi w:val="0"/>
        <w:adjustRightInd w:val="0"/>
        <w:snapToGrid/>
        <w:spacing w:before="313" w:beforeLines="100" w:after="60"/>
        <w:jc w:val="both"/>
        <w:textAlignment w:val="baseline"/>
        <w:rPr>
          <w:rFonts w:hint="eastAsia" w:eastAsia="宋体"/>
          <w:b/>
          <w:i w:val="0"/>
          <w:iCs w:val="0"/>
          <w:sz w:val="20"/>
          <w:szCs w:val="20"/>
          <w:u w:val="none"/>
          <w:lang w:val="en-US" w:eastAsia="zh-CN"/>
        </w:rPr>
      </w:pPr>
      <w:r>
        <w:rPr>
          <w:rFonts w:hint="eastAsia" w:eastAsia="宋体"/>
          <w:b/>
          <w:i w:val="0"/>
          <w:iCs w:val="0"/>
          <w:sz w:val="20"/>
          <w:szCs w:val="20"/>
          <w:u w:val="none"/>
          <w:lang w:val="en-US" w:eastAsia="zh-CN"/>
        </w:rPr>
        <w:t>Others - TCI state</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cs="Times New Roman"/>
          <w:sz w:val="20"/>
          <w:szCs w:val="20"/>
          <w:lang w:val="en-US" w:eastAsia="zh-CN" w:bidi="ar-SA"/>
        </w:rPr>
      </w:pPr>
      <w:r>
        <w:rPr>
          <w:rFonts w:hint="eastAsia" w:eastAsia="宋体" w:cs="Times New Roman"/>
          <w:sz w:val="20"/>
          <w:szCs w:val="20"/>
          <w:lang w:val="en-US" w:eastAsia="zh-CN" w:bidi="ar-SA"/>
        </w:rPr>
        <w:t>For SSB-less SCell in inter-band CA, one of the side condition is TCI state, which is:</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default" w:eastAsia="宋体" w:cs="Times New Roman"/>
          <w:i/>
          <w:iCs/>
          <w:sz w:val="20"/>
          <w:szCs w:val="20"/>
          <w:lang w:val="en-US" w:eastAsia="zh-CN" w:bidi="ar-SA"/>
        </w:rPr>
      </w:pPr>
      <w:r>
        <w:rPr>
          <w:rFonts w:hint="default" w:eastAsia="宋体" w:cs="Times New Roman"/>
          <w:i/>
          <w:iCs/>
          <w:sz w:val="20"/>
          <w:szCs w:val="20"/>
          <w:lang w:val="en-US" w:eastAsia="zh-CN" w:bidi="ar-SA"/>
        </w:rPr>
        <w:t>-</w:t>
      </w:r>
      <w:r>
        <w:rPr>
          <w:rFonts w:hint="default" w:eastAsia="宋体" w:cs="Times New Roman"/>
          <w:i/>
          <w:iCs/>
          <w:sz w:val="20"/>
          <w:szCs w:val="20"/>
          <w:lang w:val="en-US" w:eastAsia="zh-CN" w:bidi="ar-SA"/>
        </w:rPr>
        <w:tab/>
      </w:r>
      <w:r>
        <w:rPr>
          <w:rFonts w:hint="default" w:eastAsia="宋体" w:cs="Times New Roman"/>
          <w:i/>
          <w:iCs/>
          <w:sz w:val="20"/>
          <w:szCs w:val="20"/>
          <w:lang w:val="en-US" w:eastAsia="zh-CN" w:bidi="ar-SA"/>
        </w:rP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Such TCI</w:t>
      </w:r>
      <w:r>
        <w:rPr>
          <w:rFonts w:hint="eastAsia" w:eastAsia="宋体" w:cs="Times New Roman"/>
          <w:sz w:val="20"/>
          <w:szCs w:val="20"/>
          <w:lang w:val="en-US" w:eastAsia="zh-CN" w:bidi="ar-SA"/>
        </w:rPr>
        <w:tab/>
      </w:r>
      <w:r>
        <w:rPr>
          <w:rFonts w:hint="eastAsia" w:eastAsia="宋体" w:cs="Times New Roman"/>
          <w:sz w:val="20"/>
          <w:szCs w:val="20"/>
          <w:lang w:val="en-US" w:eastAsia="zh-CN" w:bidi="ar-SA"/>
        </w:rPr>
        <w:t>state should be configured in test case. The TCI.State.2 could be used for the RS(s) of the SSB-less SCell. The TCI.State.0 could be used for the TRS of the SSB-less SCell with an additional note that the reference signal is SSB0 from PCell.</w:t>
      </w:r>
    </w:p>
    <w:p>
      <w:pPr>
        <w:overflowPunct/>
        <w:autoSpaceDE/>
        <w:autoSpaceDN/>
        <w:adjustRightInd/>
        <w:spacing w:after="12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Proposal 3:  The TCI.State.2 could be used for the RS(s) of the SSB-less SCell. </w:t>
      </w:r>
    </w:p>
    <w:p>
      <w:pPr>
        <w:overflowPunct/>
        <w:autoSpaceDE/>
        <w:autoSpaceDN/>
        <w:adjustRightInd/>
        <w:spacing w:after="12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4: The TCI.State.0 could be used for the TRS of the SSB-less SCell with an additional note that the reference signal is SSB0 from PCell.</w:t>
      </w:r>
    </w:p>
    <w:p>
      <w:pPr>
        <w:keepNext w:val="0"/>
        <w:keepLines w:val="0"/>
        <w:pageBreakBefore w:val="0"/>
        <w:widowControl/>
        <w:kinsoku/>
        <w:wordWrap/>
        <w:overflowPunct w:val="0"/>
        <w:topLinePunct w:val="0"/>
        <w:autoSpaceDE w:val="0"/>
        <w:autoSpaceDN w:val="0"/>
        <w:bidi w:val="0"/>
        <w:adjustRightInd w:val="0"/>
        <w:snapToGrid/>
        <w:spacing w:before="313" w:beforeLines="100" w:after="60"/>
        <w:jc w:val="both"/>
        <w:textAlignment w:val="baseline"/>
        <w:rPr>
          <w:rFonts w:hint="eastAsia" w:eastAsia="宋体"/>
          <w:b/>
          <w:i w:val="0"/>
          <w:iCs w:val="0"/>
          <w:sz w:val="20"/>
          <w:szCs w:val="20"/>
          <w:u w:val="none"/>
          <w:lang w:val="en-US" w:eastAsia="zh-CN"/>
        </w:rPr>
      </w:pPr>
      <w:r>
        <w:rPr>
          <w:rFonts w:hint="eastAsia" w:eastAsia="宋体"/>
          <w:b/>
          <w:i w:val="0"/>
          <w:iCs w:val="0"/>
          <w:sz w:val="20"/>
          <w:szCs w:val="20"/>
          <w:u w:val="none"/>
          <w:lang w:val="en-US" w:eastAsia="zh-CN"/>
        </w:rPr>
        <w:t>Others - SCell measurement cycle (measCycleSCell)/SSB/SMTC configuration</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cs="Times New Roman"/>
          <w:sz w:val="20"/>
          <w:szCs w:val="20"/>
          <w:lang w:val="en-US" w:eastAsia="zh-CN" w:bidi="ar-SA"/>
        </w:rPr>
      </w:pPr>
      <w:r>
        <w:rPr>
          <w:rFonts w:hint="eastAsia" w:eastAsia="宋体" w:cs="Times New Roman"/>
          <w:sz w:val="20"/>
          <w:szCs w:val="20"/>
          <w:lang w:val="en-US" w:eastAsia="zh-CN" w:bidi="ar-SA"/>
        </w:rPr>
        <w:t>Since SSB and related measurements will not be configured for SCell, the parameter measCycleSCell, SSB and SMTC are not needed to configured accordingly.</w:t>
      </w:r>
    </w:p>
    <w:p>
      <w:pPr>
        <w:overflowPunct/>
        <w:autoSpaceDE/>
        <w:autoSpaceDN/>
        <w:adjustRightInd/>
        <w:spacing w:after="120"/>
        <w:jc w:val="both"/>
        <w:textAlignment w:val="auto"/>
        <w:rPr>
          <w:rFonts w:hint="default"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5:  Don</w:t>
      </w:r>
      <w:r>
        <w:rPr>
          <w:rFonts w:hint="default" w:eastAsia="宋体" w:cs="Times New Roman"/>
          <w:b/>
          <w:bCs/>
          <w:i/>
          <w:iCs/>
          <w:sz w:val="20"/>
          <w:szCs w:val="20"/>
          <w:lang w:val="en-US" w:eastAsia="zh-CN" w:bidi="ar-SA"/>
        </w:rPr>
        <w:t>’</w:t>
      </w:r>
      <w:r>
        <w:rPr>
          <w:rFonts w:hint="eastAsia" w:eastAsia="宋体" w:cs="Times New Roman"/>
          <w:b/>
          <w:bCs/>
          <w:i/>
          <w:iCs/>
          <w:sz w:val="20"/>
          <w:szCs w:val="20"/>
          <w:lang w:val="en-US" w:eastAsia="zh-CN" w:bidi="ar-SA"/>
        </w:rPr>
        <w:t>t configure the parameter SCell measurement cycle (measCycleSCell), SSB configuration and SMTC configuration for SSB-less SCell.</w:t>
      </w:r>
    </w:p>
    <w:p>
      <w:pPr>
        <w:rPr>
          <w:b/>
          <w:u w:val="single"/>
          <w:lang w:eastAsia="ko-KR"/>
        </w:rPr>
      </w:pPr>
    </w:p>
    <w:bookmarkEnd w:id="6"/>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jc w:val="both"/>
        <w:rPr>
          <w:sz w:val="20"/>
          <w:szCs w:val="20"/>
        </w:rPr>
      </w:pPr>
      <w:r>
        <w:rPr>
          <w:sz w:val="20"/>
          <w:szCs w:val="20"/>
        </w:rPr>
        <w:t>Based on the discussion above, the following</w:t>
      </w:r>
      <w:r>
        <w:rPr>
          <w:rFonts w:hint="eastAsia"/>
          <w:sz w:val="20"/>
          <w:szCs w:val="20"/>
          <w:lang w:val="en-US" w:eastAsia="zh-CN"/>
        </w:rPr>
        <w:t xml:space="preserve"> </w:t>
      </w:r>
      <w:r>
        <w:rPr>
          <w:sz w:val="20"/>
          <w:szCs w:val="20"/>
        </w:rPr>
        <w:t xml:space="preserve">proposals are concluded. </w:t>
      </w:r>
      <w:bookmarkEnd w:id="7"/>
      <w:bookmarkEnd w:id="8"/>
    </w:p>
    <w:p>
      <w:pPr>
        <w:overflowPunct/>
        <w:autoSpaceDE/>
        <w:autoSpaceDN/>
        <w:adjustRightInd/>
        <w:spacing w:after="12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1: Generally, guarantee the RTD&lt;=CP corresponding to the SCS of SSB-less Cell. Specifically,  consider timing offset from Cell 2 to Cell 1 as 4µs for SCell 15kHz SCS and 2µs for SCell 30kHz SCS.</w:t>
      </w:r>
    </w:p>
    <w:p>
      <w:pPr>
        <w:overflowPunct/>
        <w:autoSpaceDE/>
        <w:autoSpaceDN/>
        <w:adjustRightInd/>
        <w:spacing w:after="120"/>
        <w:jc w:val="both"/>
        <w:textAlignment w:val="auto"/>
        <w:rPr>
          <w:rFonts w:hint="default"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2:  Set EPRE difference as [9 dB] + ΔPL in the test cases, where ΔPL is the pathloss difference caused by frequency difference between two Cells.</w:t>
      </w:r>
    </w:p>
    <w:p>
      <w:pPr>
        <w:overflowPunct/>
        <w:autoSpaceDE/>
        <w:autoSpaceDN/>
        <w:adjustRightInd/>
        <w:spacing w:after="12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Proposal 3:  The TCI.State.2 could be used for the RS(s) of the SSB-less SCell. </w:t>
      </w:r>
    </w:p>
    <w:p>
      <w:pPr>
        <w:overflowPunct/>
        <w:autoSpaceDE/>
        <w:autoSpaceDN/>
        <w:adjustRightInd/>
        <w:spacing w:after="12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4: The TCI.State.0 could be used for the TRS of the SSB-less SCell with an additional note that the reference signal is SSB0 from PCell.</w:t>
      </w:r>
    </w:p>
    <w:p>
      <w:pPr>
        <w:overflowPunct/>
        <w:autoSpaceDE/>
        <w:autoSpaceDN/>
        <w:adjustRightInd/>
        <w:spacing w:after="120"/>
        <w:jc w:val="both"/>
        <w:textAlignment w:val="auto"/>
        <w:rPr>
          <w:rFonts w:hint="default"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5:  Don</w:t>
      </w:r>
      <w:r>
        <w:rPr>
          <w:rFonts w:hint="default" w:eastAsia="宋体" w:cs="Times New Roman"/>
          <w:b/>
          <w:bCs/>
          <w:i/>
          <w:iCs/>
          <w:sz w:val="20"/>
          <w:szCs w:val="20"/>
          <w:lang w:val="en-US" w:eastAsia="zh-CN" w:bidi="ar-SA"/>
        </w:rPr>
        <w:t>’</w:t>
      </w:r>
      <w:r>
        <w:rPr>
          <w:rFonts w:hint="eastAsia" w:eastAsia="宋体" w:cs="Times New Roman"/>
          <w:b/>
          <w:bCs/>
          <w:i/>
          <w:iCs/>
          <w:sz w:val="20"/>
          <w:szCs w:val="20"/>
          <w:lang w:val="en-US" w:eastAsia="zh-CN" w:bidi="ar-SA"/>
        </w:rPr>
        <w:t>t configure the parameter SCell measurement cycle (measCycleSCell), SSB configuration and SMTC configuration for SSB-less SCell.</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rPr>
          <w:rFonts w:hint="eastAsia"/>
          <w:sz w:val="20"/>
          <w:szCs w:val="20"/>
          <w:lang w:val="en-GB" w:eastAsia="zh-CN"/>
        </w:rPr>
      </w:pPr>
      <w:r>
        <w:rPr>
          <w:rFonts w:hint="eastAsia"/>
          <w:sz w:val="20"/>
          <w:szCs w:val="20"/>
          <w:lang w:val="en-GB"/>
        </w:rPr>
        <w:t>[</w:t>
      </w:r>
      <w:r>
        <w:rPr>
          <w:sz w:val="20"/>
          <w:szCs w:val="20"/>
          <w:lang w:val="en-GB"/>
        </w:rPr>
        <w:t>1]</w:t>
      </w:r>
      <w:r>
        <w:rPr>
          <w:rFonts w:hint="eastAsia"/>
          <w:sz w:val="20"/>
          <w:szCs w:val="20"/>
          <w:lang w:val="en-US" w:eastAsia="zh-CN"/>
        </w:rPr>
        <w:t xml:space="preserve"> R4-2403526, WF on RRM requirements for NR network energy saving, </w:t>
      </w:r>
      <w:r>
        <w:rPr>
          <w:rFonts w:hint="eastAsia"/>
          <w:sz w:val="20"/>
          <w:szCs w:val="20"/>
          <w:lang w:val="en-GB" w:eastAsia="zh-CN"/>
        </w:rPr>
        <w:t>Huawei, HiSilicon.</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44A01B1"/>
    <w:multiLevelType w:val="multilevel"/>
    <w:tmpl w:val="444A01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6CDA2FB2"/>
    <w:multiLevelType w:val="multilevel"/>
    <w:tmpl w:val="6CDA2FB2"/>
    <w:lvl w:ilvl="0" w:tentative="0">
      <w:start w:val="1"/>
      <w:numFmt w:val="decimal"/>
      <w:pStyle w:val="55"/>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577E"/>
    <w:rsid w:val="0001686D"/>
    <w:rsid w:val="00017051"/>
    <w:rsid w:val="00017D45"/>
    <w:rsid w:val="00020096"/>
    <w:rsid w:val="00020F88"/>
    <w:rsid w:val="00021E70"/>
    <w:rsid w:val="00021FAA"/>
    <w:rsid w:val="00022AA2"/>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628"/>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2D6"/>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3A0B"/>
    <w:rsid w:val="000B4172"/>
    <w:rsid w:val="000B49FC"/>
    <w:rsid w:val="000B5617"/>
    <w:rsid w:val="000B567F"/>
    <w:rsid w:val="000B576E"/>
    <w:rsid w:val="000B5CB2"/>
    <w:rsid w:val="000B64E3"/>
    <w:rsid w:val="000B6781"/>
    <w:rsid w:val="000B6BA3"/>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0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32C"/>
    <w:rsid w:val="000F0ED1"/>
    <w:rsid w:val="000F0F23"/>
    <w:rsid w:val="000F1050"/>
    <w:rsid w:val="000F18A5"/>
    <w:rsid w:val="000F1C4B"/>
    <w:rsid w:val="000F1C61"/>
    <w:rsid w:val="000F23ED"/>
    <w:rsid w:val="000F25D5"/>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3FF"/>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6E"/>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4CC"/>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39"/>
    <w:rsid w:val="001662A4"/>
    <w:rsid w:val="00166384"/>
    <w:rsid w:val="001665B8"/>
    <w:rsid w:val="0016670D"/>
    <w:rsid w:val="00167C21"/>
    <w:rsid w:val="00167CAE"/>
    <w:rsid w:val="0017014A"/>
    <w:rsid w:val="0017043F"/>
    <w:rsid w:val="00170B13"/>
    <w:rsid w:val="001715DF"/>
    <w:rsid w:val="00171A3A"/>
    <w:rsid w:val="00171CC3"/>
    <w:rsid w:val="00172D09"/>
    <w:rsid w:val="00173314"/>
    <w:rsid w:val="00173A70"/>
    <w:rsid w:val="00173C68"/>
    <w:rsid w:val="00174E9E"/>
    <w:rsid w:val="00174F4E"/>
    <w:rsid w:val="00174FDF"/>
    <w:rsid w:val="00175A55"/>
    <w:rsid w:val="0017617E"/>
    <w:rsid w:val="001763E3"/>
    <w:rsid w:val="001765AA"/>
    <w:rsid w:val="001766AC"/>
    <w:rsid w:val="00176EC3"/>
    <w:rsid w:val="0017733F"/>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5FC8"/>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AEE"/>
    <w:rsid w:val="001D6C84"/>
    <w:rsid w:val="001D6CE6"/>
    <w:rsid w:val="001D6ED9"/>
    <w:rsid w:val="001D6F0C"/>
    <w:rsid w:val="001D7220"/>
    <w:rsid w:val="001D7818"/>
    <w:rsid w:val="001D7AA2"/>
    <w:rsid w:val="001E040D"/>
    <w:rsid w:val="001E0778"/>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E5E"/>
    <w:rsid w:val="00223F32"/>
    <w:rsid w:val="00223FB6"/>
    <w:rsid w:val="00224140"/>
    <w:rsid w:val="00224236"/>
    <w:rsid w:val="00224CC7"/>
    <w:rsid w:val="00225126"/>
    <w:rsid w:val="002260D8"/>
    <w:rsid w:val="0022630F"/>
    <w:rsid w:val="00226BEE"/>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D72"/>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3E7"/>
    <w:rsid w:val="002E3888"/>
    <w:rsid w:val="002E3F7A"/>
    <w:rsid w:val="002E435F"/>
    <w:rsid w:val="002E588C"/>
    <w:rsid w:val="002E5FD4"/>
    <w:rsid w:val="002E6476"/>
    <w:rsid w:val="002E66A3"/>
    <w:rsid w:val="002E6E6D"/>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0C1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ED"/>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B5B"/>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7C3"/>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33C"/>
    <w:rsid w:val="00413A50"/>
    <w:rsid w:val="00413EA9"/>
    <w:rsid w:val="004143EE"/>
    <w:rsid w:val="0041442E"/>
    <w:rsid w:val="00414CB7"/>
    <w:rsid w:val="00414E7D"/>
    <w:rsid w:val="00414EDC"/>
    <w:rsid w:val="0041504D"/>
    <w:rsid w:val="00415050"/>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2B41"/>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4C69"/>
    <w:rsid w:val="00454E38"/>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312"/>
    <w:rsid w:val="004F46ED"/>
    <w:rsid w:val="004F4A2D"/>
    <w:rsid w:val="004F4E8A"/>
    <w:rsid w:val="004F50AA"/>
    <w:rsid w:val="004F51A2"/>
    <w:rsid w:val="004F523D"/>
    <w:rsid w:val="004F52E3"/>
    <w:rsid w:val="004F673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20C"/>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1DD"/>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B4A"/>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1A15"/>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4DC"/>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B4B"/>
    <w:rsid w:val="005B2203"/>
    <w:rsid w:val="005B2F47"/>
    <w:rsid w:val="005B3624"/>
    <w:rsid w:val="005B497B"/>
    <w:rsid w:val="005B49B4"/>
    <w:rsid w:val="005B52A3"/>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347"/>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508"/>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090"/>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791"/>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5858"/>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2C19"/>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5C6"/>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374C"/>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DC"/>
    <w:rsid w:val="00694DEB"/>
    <w:rsid w:val="006950DB"/>
    <w:rsid w:val="006951D1"/>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3C9F"/>
    <w:rsid w:val="006A4962"/>
    <w:rsid w:val="006A4B90"/>
    <w:rsid w:val="006A4FBF"/>
    <w:rsid w:val="006A51A0"/>
    <w:rsid w:val="006A60E5"/>
    <w:rsid w:val="006A6961"/>
    <w:rsid w:val="006A6DBB"/>
    <w:rsid w:val="006A7118"/>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7DE"/>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C53"/>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2CA4"/>
    <w:rsid w:val="006F316D"/>
    <w:rsid w:val="006F36BD"/>
    <w:rsid w:val="006F397A"/>
    <w:rsid w:val="006F3B27"/>
    <w:rsid w:val="006F4C47"/>
    <w:rsid w:val="006F4E10"/>
    <w:rsid w:val="006F4E94"/>
    <w:rsid w:val="006F5741"/>
    <w:rsid w:val="006F6496"/>
    <w:rsid w:val="006F6C02"/>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2DF"/>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9E2"/>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0CA"/>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047"/>
    <w:rsid w:val="007B42C9"/>
    <w:rsid w:val="007B56C9"/>
    <w:rsid w:val="007B6273"/>
    <w:rsid w:val="007B653E"/>
    <w:rsid w:val="007B68A2"/>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127"/>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598"/>
    <w:rsid w:val="00841995"/>
    <w:rsid w:val="00841F4E"/>
    <w:rsid w:val="008421A5"/>
    <w:rsid w:val="00842901"/>
    <w:rsid w:val="00842A53"/>
    <w:rsid w:val="0084300C"/>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0AC"/>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262"/>
    <w:rsid w:val="00884654"/>
    <w:rsid w:val="008848DF"/>
    <w:rsid w:val="00884995"/>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50D"/>
    <w:rsid w:val="008929B6"/>
    <w:rsid w:val="00894478"/>
    <w:rsid w:val="00894990"/>
    <w:rsid w:val="00894C09"/>
    <w:rsid w:val="00894D72"/>
    <w:rsid w:val="008957F8"/>
    <w:rsid w:val="00895883"/>
    <w:rsid w:val="008959F4"/>
    <w:rsid w:val="00895A0E"/>
    <w:rsid w:val="00896C20"/>
    <w:rsid w:val="00897111"/>
    <w:rsid w:val="00897274"/>
    <w:rsid w:val="00897A76"/>
    <w:rsid w:val="00897C80"/>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147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C8E"/>
    <w:rsid w:val="008E2159"/>
    <w:rsid w:val="008E2242"/>
    <w:rsid w:val="008E22BA"/>
    <w:rsid w:val="008E295A"/>
    <w:rsid w:val="008E2CCA"/>
    <w:rsid w:val="008E2D68"/>
    <w:rsid w:val="008E2D9E"/>
    <w:rsid w:val="008E2FD8"/>
    <w:rsid w:val="008E3291"/>
    <w:rsid w:val="008E3AD1"/>
    <w:rsid w:val="008E3BFF"/>
    <w:rsid w:val="008E3E45"/>
    <w:rsid w:val="008E3F2D"/>
    <w:rsid w:val="008E446C"/>
    <w:rsid w:val="008E4550"/>
    <w:rsid w:val="008E45D9"/>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0CE"/>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5C5"/>
    <w:rsid w:val="00995746"/>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171"/>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6FB4"/>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88C"/>
    <w:rsid w:val="00A55BB0"/>
    <w:rsid w:val="00A55C45"/>
    <w:rsid w:val="00A561FA"/>
    <w:rsid w:val="00A56486"/>
    <w:rsid w:val="00A5687B"/>
    <w:rsid w:val="00A56C8F"/>
    <w:rsid w:val="00A57E6D"/>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2DE5"/>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19A"/>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5A2"/>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AE4"/>
    <w:rsid w:val="00B06BF7"/>
    <w:rsid w:val="00B0741B"/>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2D60"/>
    <w:rsid w:val="00B53011"/>
    <w:rsid w:val="00B5389F"/>
    <w:rsid w:val="00B545C2"/>
    <w:rsid w:val="00B54A79"/>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4F3F"/>
    <w:rsid w:val="00B65014"/>
    <w:rsid w:val="00B65017"/>
    <w:rsid w:val="00B6551B"/>
    <w:rsid w:val="00B655CD"/>
    <w:rsid w:val="00B65AB8"/>
    <w:rsid w:val="00B65ABE"/>
    <w:rsid w:val="00B664AE"/>
    <w:rsid w:val="00B66C38"/>
    <w:rsid w:val="00B670F6"/>
    <w:rsid w:val="00B6745D"/>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D2A"/>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20D"/>
    <w:rsid w:val="00BB0773"/>
    <w:rsid w:val="00BB082A"/>
    <w:rsid w:val="00BB14D5"/>
    <w:rsid w:val="00BB20F0"/>
    <w:rsid w:val="00BB2419"/>
    <w:rsid w:val="00BB25E4"/>
    <w:rsid w:val="00BB29DF"/>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D4"/>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4FCB"/>
    <w:rsid w:val="00BD512E"/>
    <w:rsid w:val="00BD5527"/>
    <w:rsid w:val="00BD567E"/>
    <w:rsid w:val="00BD5D47"/>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0CD"/>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6A5"/>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3AF3"/>
    <w:rsid w:val="00C24505"/>
    <w:rsid w:val="00C24B8B"/>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9F5"/>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2E34"/>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795"/>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58A"/>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544"/>
    <w:rsid w:val="00C941F5"/>
    <w:rsid w:val="00C94356"/>
    <w:rsid w:val="00C94786"/>
    <w:rsid w:val="00C9499E"/>
    <w:rsid w:val="00C94E27"/>
    <w:rsid w:val="00C9523F"/>
    <w:rsid w:val="00C95343"/>
    <w:rsid w:val="00C955F5"/>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AB4"/>
    <w:rsid w:val="00CA3B6C"/>
    <w:rsid w:val="00CA404E"/>
    <w:rsid w:val="00CA432B"/>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25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2CAF"/>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0D2C"/>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B1A"/>
    <w:rsid w:val="00D36D93"/>
    <w:rsid w:val="00D36DFE"/>
    <w:rsid w:val="00D37433"/>
    <w:rsid w:val="00D37B7C"/>
    <w:rsid w:val="00D41A65"/>
    <w:rsid w:val="00D41FB2"/>
    <w:rsid w:val="00D42983"/>
    <w:rsid w:val="00D4386A"/>
    <w:rsid w:val="00D43FDA"/>
    <w:rsid w:val="00D44B30"/>
    <w:rsid w:val="00D453BD"/>
    <w:rsid w:val="00D45765"/>
    <w:rsid w:val="00D45791"/>
    <w:rsid w:val="00D4579A"/>
    <w:rsid w:val="00D459D4"/>
    <w:rsid w:val="00D45A6F"/>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05B"/>
    <w:rsid w:val="00D656BA"/>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3C0"/>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1C3"/>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CF"/>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62B"/>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34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FC4"/>
    <w:rsid w:val="00E830C7"/>
    <w:rsid w:val="00E83750"/>
    <w:rsid w:val="00E84113"/>
    <w:rsid w:val="00E84546"/>
    <w:rsid w:val="00E85358"/>
    <w:rsid w:val="00E854A8"/>
    <w:rsid w:val="00E854CC"/>
    <w:rsid w:val="00E85608"/>
    <w:rsid w:val="00E859C6"/>
    <w:rsid w:val="00E85BB3"/>
    <w:rsid w:val="00E86C0A"/>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9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27"/>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58B"/>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4A4"/>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CEC"/>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5F"/>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32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25"/>
    <w:rsid w:val="00F505E1"/>
    <w:rsid w:val="00F5129E"/>
    <w:rsid w:val="00F51B63"/>
    <w:rsid w:val="00F531AA"/>
    <w:rsid w:val="00F533A1"/>
    <w:rsid w:val="00F53BA7"/>
    <w:rsid w:val="00F549B4"/>
    <w:rsid w:val="00F54C36"/>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A44"/>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3EF"/>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0F96"/>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2E7D"/>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931B1"/>
    <w:rsid w:val="015051F3"/>
    <w:rsid w:val="01843272"/>
    <w:rsid w:val="024A1251"/>
    <w:rsid w:val="03F16F56"/>
    <w:rsid w:val="0434763B"/>
    <w:rsid w:val="043B00F7"/>
    <w:rsid w:val="059B2FBB"/>
    <w:rsid w:val="064C7649"/>
    <w:rsid w:val="06C938D1"/>
    <w:rsid w:val="0775691E"/>
    <w:rsid w:val="08966482"/>
    <w:rsid w:val="09063CAD"/>
    <w:rsid w:val="091F2183"/>
    <w:rsid w:val="0AC91636"/>
    <w:rsid w:val="0AD74098"/>
    <w:rsid w:val="0C6F5959"/>
    <w:rsid w:val="105C4837"/>
    <w:rsid w:val="10705C68"/>
    <w:rsid w:val="12600B3E"/>
    <w:rsid w:val="12F708E7"/>
    <w:rsid w:val="12FB52D6"/>
    <w:rsid w:val="144F009D"/>
    <w:rsid w:val="16CB745F"/>
    <w:rsid w:val="175519EF"/>
    <w:rsid w:val="18662412"/>
    <w:rsid w:val="187D5813"/>
    <w:rsid w:val="198E3F9B"/>
    <w:rsid w:val="19977565"/>
    <w:rsid w:val="1C4140A3"/>
    <w:rsid w:val="1C7E3BD3"/>
    <w:rsid w:val="1D2B280C"/>
    <w:rsid w:val="1D5B4C92"/>
    <w:rsid w:val="1D5F76BA"/>
    <w:rsid w:val="1DE54287"/>
    <w:rsid w:val="1EAE1718"/>
    <w:rsid w:val="1EB2708E"/>
    <w:rsid w:val="1F235F77"/>
    <w:rsid w:val="21F31B70"/>
    <w:rsid w:val="22394DC0"/>
    <w:rsid w:val="2261677D"/>
    <w:rsid w:val="23624360"/>
    <w:rsid w:val="23CF38CC"/>
    <w:rsid w:val="24DD176E"/>
    <w:rsid w:val="261068DB"/>
    <w:rsid w:val="26455B2C"/>
    <w:rsid w:val="267D49F1"/>
    <w:rsid w:val="26C167B6"/>
    <w:rsid w:val="27444C56"/>
    <w:rsid w:val="2884631A"/>
    <w:rsid w:val="28A67D37"/>
    <w:rsid w:val="2A2B6CE0"/>
    <w:rsid w:val="2A807AE4"/>
    <w:rsid w:val="2C5C2FEC"/>
    <w:rsid w:val="2C770231"/>
    <w:rsid w:val="2D08550D"/>
    <w:rsid w:val="2D202CAF"/>
    <w:rsid w:val="2D921625"/>
    <w:rsid w:val="2E464966"/>
    <w:rsid w:val="2F5838B9"/>
    <w:rsid w:val="3007171F"/>
    <w:rsid w:val="30217EC0"/>
    <w:rsid w:val="328A418D"/>
    <w:rsid w:val="3346489F"/>
    <w:rsid w:val="33800826"/>
    <w:rsid w:val="34785525"/>
    <w:rsid w:val="36D343EA"/>
    <w:rsid w:val="372F4478"/>
    <w:rsid w:val="377238AA"/>
    <w:rsid w:val="3A10328B"/>
    <w:rsid w:val="3A326AA7"/>
    <w:rsid w:val="3A622FD7"/>
    <w:rsid w:val="3B117DCA"/>
    <w:rsid w:val="3D1F5AB0"/>
    <w:rsid w:val="3D4B4163"/>
    <w:rsid w:val="3DCE20FC"/>
    <w:rsid w:val="3E567BF4"/>
    <w:rsid w:val="405A17C8"/>
    <w:rsid w:val="414D1E81"/>
    <w:rsid w:val="41766342"/>
    <w:rsid w:val="4195149B"/>
    <w:rsid w:val="42272596"/>
    <w:rsid w:val="42D1280C"/>
    <w:rsid w:val="44274B3C"/>
    <w:rsid w:val="44366E8E"/>
    <w:rsid w:val="46A8131D"/>
    <w:rsid w:val="46DB4C8A"/>
    <w:rsid w:val="47B63C6D"/>
    <w:rsid w:val="484B50E6"/>
    <w:rsid w:val="49BC448E"/>
    <w:rsid w:val="4AA27C3D"/>
    <w:rsid w:val="4B1E335D"/>
    <w:rsid w:val="4B920C94"/>
    <w:rsid w:val="4CC9678E"/>
    <w:rsid w:val="4DF32423"/>
    <w:rsid w:val="4E2931CA"/>
    <w:rsid w:val="4E4D5343"/>
    <w:rsid w:val="528113A2"/>
    <w:rsid w:val="52F014E6"/>
    <w:rsid w:val="541B64BA"/>
    <w:rsid w:val="54F600E8"/>
    <w:rsid w:val="550F4C67"/>
    <w:rsid w:val="55633225"/>
    <w:rsid w:val="560918AE"/>
    <w:rsid w:val="562E2CD9"/>
    <w:rsid w:val="5670596C"/>
    <w:rsid w:val="56864D16"/>
    <w:rsid w:val="575F74D4"/>
    <w:rsid w:val="58A81009"/>
    <w:rsid w:val="58AA2F55"/>
    <w:rsid w:val="5909170D"/>
    <w:rsid w:val="59316355"/>
    <w:rsid w:val="599D4FED"/>
    <w:rsid w:val="5A0D7524"/>
    <w:rsid w:val="5A1E05E5"/>
    <w:rsid w:val="5A624644"/>
    <w:rsid w:val="5B1248DB"/>
    <w:rsid w:val="5B222BDF"/>
    <w:rsid w:val="5B4119AE"/>
    <w:rsid w:val="5E19471E"/>
    <w:rsid w:val="5EC475D6"/>
    <w:rsid w:val="5ED708E1"/>
    <w:rsid w:val="5EFC6FEB"/>
    <w:rsid w:val="5FB05672"/>
    <w:rsid w:val="60046178"/>
    <w:rsid w:val="62CD0963"/>
    <w:rsid w:val="62DF6110"/>
    <w:rsid w:val="63814A0D"/>
    <w:rsid w:val="63B23700"/>
    <w:rsid w:val="63FE2CAB"/>
    <w:rsid w:val="65451723"/>
    <w:rsid w:val="65F01BB1"/>
    <w:rsid w:val="667C7355"/>
    <w:rsid w:val="6717413C"/>
    <w:rsid w:val="68DC62AF"/>
    <w:rsid w:val="69C03B0F"/>
    <w:rsid w:val="6A1B0A0D"/>
    <w:rsid w:val="6AC923B1"/>
    <w:rsid w:val="6B8B57B2"/>
    <w:rsid w:val="6BDC7C84"/>
    <w:rsid w:val="6C0F6467"/>
    <w:rsid w:val="6CEC68F6"/>
    <w:rsid w:val="6E0B7EE8"/>
    <w:rsid w:val="714F65D4"/>
    <w:rsid w:val="727805A8"/>
    <w:rsid w:val="738E1AE0"/>
    <w:rsid w:val="73B23D33"/>
    <w:rsid w:val="75307AD5"/>
    <w:rsid w:val="75FA3264"/>
    <w:rsid w:val="767543BB"/>
    <w:rsid w:val="79951646"/>
    <w:rsid w:val="79AB0B34"/>
    <w:rsid w:val="7B2569DF"/>
    <w:rsid w:val="7BBB337B"/>
    <w:rsid w:val="7C3B4CC2"/>
    <w:rsid w:val="7D30627A"/>
    <w:rsid w:val="7DDF358F"/>
    <w:rsid w:val="7E86642D"/>
    <w:rsid w:val="7FB131D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99"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8"/>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9"/>
    <w:qFormat/>
    <w:uiPriority w:val="0"/>
    <w:pPr>
      <w:tabs>
        <w:tab w:val="left" w:pos="720"/>
        <w:tab w:val="clear" w:pos="576"/>
      </w:tabs>
      <w:spacing w:before="120"/>
      <w:ind w:left="720" w:hanging="720"/>
      <w:outlineLvl w:val="2"/>
    </w:pPr>
    <w:rPr>
      <w:sz w:val="28"/>
    </w:rPr>
  </w:style>
  <w:style w:type="paragraph" w:styleId="5">
    <w:name w:val="heading 4"/>
    <w:basedOn w:val="4"/>
    <w:next w:val="1"/>
    <w:link w:val="40"/>
    <w:qFormat/>
    <w:uiPriority w:val="0"/>
    <w:pPr>
      <w:tabs>
        <w:tab w:val="left" w:pos="864"/>
        <w:tab w:val="clear" w:pos="720"/>
      </w:tabs>
      <w:ind w:left="864" w:hanging="864"/>
      <w:outlineLvl w:val="3"/>
    </w:pPr>
    <w:rPr>
      <w:sz w:val="20"/>
    </w:rPr>
  </w:style>
  <w:style w:type="paragraph" w:styleId="6">
    <w:name w:val="heading 5"/>
    <w:basedOn w:val="5"/>
    <w:next w:val="1"/>
    <w:link w:val="41"/>
    <w:qFormat/>
    <w:uiPriority w:val="0"/>
    <w:pPr>
      <w:tabs>
        <w:tab w:val="left" w:pos="1152"/>
        <w:tab w:val="clear" w:pos="864"/>
      </w:tabs>
      <w:ind w:left="1152" w:hanging="1152"/>
      <w:outlineLvl w:val="4"/>
    </w:pPr>
    <w:rPr>
      <w:sz w:val="22"/>
    </w:rPr>
  </w:style>
  <w:style w:type="paragraph" w:styleId="7">
    <w:name w:val="heading 7"/>
    <w:basedOn w:val="1"/>
    <w:next w:val="1"/>
    <w:link w:val="42"/>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3"/>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4"/>
    <w:qFormat/>
    <w:uiPriority w:val="0"/>
    <w:pPr>
      <w:tabs>
        <w:tab w:val="left" w:pos="1584"/>
        <w:tab w:val="clear" w:pos="1440"/>
      </w:tabs>
      <w:ind w:left="1584"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0">
    <w:name w:val="List 3"/>
    <w:basedOn w:val="11"/>
    <w:qFormat/>
    <w:uiPriority w:val="0"/>
    <w:pPr>
      <w:ind w:left="1135"/>
    </w:pPr>
  </w:style>
  <w:style w:type="paragraph" w:styleId="11">
    <w:name w:val="List 2"/>
    <w:basedOn w:val="12"/>
    <w:qFormat/>
    <w:uiPriority w:val="99"/>
    <w:pPr>
      <w:ind w:left="851"/>
    </w:pPr>
  </w:style>
  <w:style w:type="paragraph" w:styleId="12">
    <w:name w:val="List"/>
    <w:basedOn w:val="1"/>
    <w:semiHidden/>
    <w:unhideWhenUsed/>
    <w:qFormat/>
    <w:uiPriority w:val="99"/>
    <w:pPr>
      <w:ind w:left="200" w:hanging="200" w:hangingChars="200"/>
      <w:contextualSpacing/>
    </w:pPr>
  </w:style>
  <w:style w:type="paragraph" w:styleId="13">
    <w:name w:val="caption"/>
    <w:next w:val="1"/>
    <w:link w:val="47"/>
    <w:qFormat/>
    <w:uiPriority w:val="0"/>
    <w:pPr>
      <w:keepNext/>
      <w:spacing w:after="60"/>
    </w:pPr>
    <w:rPr>
      <w:rFonts w:ascii="Courier New" w:hAnsi="Courier New" w:cs="Times New Roman" w:eastAsiaTheme="minorEastAsia"/>
      <w:b/>
      <w:kern w:val="20"/>
      <w:sz w:val="16"/>
      <w:lang w:val="en-US" w:eastAsia="en-US" w:bidi="ar-SA"/>
    </w:rPr>
  </w:style>
  <w:style w:type="paragraph" w:styleId="14">
    <w:name w:val="Document Map"/>
    <w:basedOn w:val="1"/>
    <w:link w:val="28"/>
    <w:semiHidden/>
    <w:unhideWhenUsed/>
    <w:qFormat/>
    <w:uiPriority w:val="99"/>
    <w:rPr>
      <w:rFonts w:ascii="Cambria Math" w:hAnsi="Cambria Math" w:eastAsia="Cambria Math"/>
      <w:sz w:val="20"/>
      <w:szCs w:val="20"/>
    </w:rPr>
  </w:style>
  <w:style w:type="paragraph" w:styleId="15">
    <w:name w:val="annotation text"/>
    <w:basedOn w:val="1"/>
    <w:link w:val="50"/>
    <w:unhideWhenUsed/>
    <w:qFormat/>
    <w:uiPriority w:val="99"/>
  </w:style>
  <w:style w:type="paragraph" w:styleId="16">
    <w:name w:val="Balloon Text"/>
    <w:basedOn w:val="1"/>
    <w:link w:val="48"/>
    <w:semiHidden/>
    <w:unhideWhenUsed/>
    <w:qFormat/>
    <w:uiPriority w:val="99"/>
    <w:rPr>
      <w:rFonts w:ascii="Cambria Math" w:hAnsi="Cambria Math" w:eastAsia="Cambria Math"/>
      <w:sz w:val="18"/>
      <w:szCs w:val="18"/>
    </w:rPr>
  </w:style>
  <w:style w:type="paragraph" w:styleId="17">
    <w:name w:val="footer"/>
    <w:basedOn w:val="1"/>
    <w:link w:val="49"/>
    <w:unhideWhenUsed/>
    <w:qFormat/>
    <w:uiPriority w:val="99"/>
    <w:pPr>
      <w:tabs>
        <w:tab w:val="center" w:pos="4153"/>
        <w:tab w:val="right" w:pos="8306"/>
      </w:tabs>
      <w:snapToGrid w:val="0"/>
    </w:pPr>
    <w:rPr>
      <w:rFonts w:ascii="Cambria Math" w:hAnsi="Cambria Math"/>
      <w:sz w:val="18"/>
      <w:szCs w:val="18"/>
    </w:rPr>
  </w:style>
  <w:style w:type="paragraph" w:styleId="18">
    <w:name w:val="header"/>
    <w:basedOn w:val="1"/>
    <w:link w:val="26"/>
    <w:qFormat/>
    <w:uiPriority w:val="99"/>
    <w:pPr>
      <w:tabs>
        <w:tab w:val="center" w:pos="4153"/>
        <w:tab w:val="right" w:pos="8306"/>
      </w:tabs>
    </w:pPr>
    <w:rPr>
      <w:rFonts w:eastAsia="Courier New"/>
      <w:sz w:val="20"/>
      <w:szCs w:val="20"/>
      <w:lang w:eastAsia="en-US"/>
    </w:rPr>
  </w:style>
  <w:style w:type="paragraph" w:styleId="19">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0">
    <w:name w:val="annotation subject"/>
    <w:basedOn w:val="15"/>
    <w:next w:val="15"/>
    <w:link w:val="51"/>
    <w:semiHidden/>
    <w:unhideWhenUsed/>
    <w:qFormat/>
    <w:uiPriority w:val="99"/>
    <w:rPr>
      <w:rFonts w:ascii="Cambria Math" w:hAnsi="Cambria Math"/>
      <w:b/>
      <w:bCs/>
      <w:sz w:val="20"/>
      <w:szCs w:val="20"/>
    </w:rPr>
  </w:style>
  <w:style w:type="table" w:styleId="22">
    <w:name w:val="Table Grid"/>
    <w:basedOn w:val="2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qFormat/>
    <w:uiPriority w:val="0"/>
    <w:rPr>
      <w:rFonts w:cs="Times New Roman"/>
      <w:color w:val="0000FF"/>
      <w:u w:val="single"/>
    </w:rPr>
  </w:style>
  <w:style w:type="character" w:styleId="25">
    <w:name w:val="annotation reference"/>
    <w:basedOn w:val="23"/>
    <w:semiHidden/>
    <w:unhideWhenUsed/>
    <w:qFormat/>
    <w:uiPriority w:val="99"/>
    <w:rPr>
      <w:sz w:val="21"/>
      <w:szCs w:val="21"/>
    </w:rPr>
  </w:style>
  <w:style w:type="character" w:customStyle="1" w:styleId="26">
    <w:name w:val="页眉 字符"/>
    <w:link w:val="18"/>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4"/>
    <w:semiHidden/>
    <w:qFormat/>
    <w:uiPriority w:val="99"/>
    <w:rPr>
      <w:rFonts w:ascii="Cambria Math" w:eastAsia="Cambria Math"/>
    </w:rPr>
  </w:style>
  <w:style w:type="paragraph" w:customStyle="1" w:styleId="29">
    <w:name w:val="TAC"/>
    <w:basedOn w:val="30"/>
    <w:link w:val="31"/>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0">
    <w:name w:val="TAL"/>
    <w:basedOn w:val="1"/>
    <w:link w:val="59"/>
    <w:qFormat/>
    <w:uiPriority w:val="0"/>
    <w:pPr>
      <w:keepNext/>
      <w:keepLines/>
    </w:pPr>
    <w:rPr>
      <w:rFonts w:ascii="Courier New" w:hAnsi="Courier New"/>
      <w:sz w:val="18"/>
      <w:szCs w:val="20"/>
      <w:lang w:val="en-GB" w:eastAsia="en-US"/>
    </w:rPr>
  </w:style>
  <w:style w:type="character" w:customStyle="1" w:styleId="31">
    <w:name w:val="TAC Char"/>
    <w:link w:val="29"/>
    <w:qFormat/>
    <w:uiPriority w:val="0"/>
    <w:rPr>
      <w:rFonts w:ascii="Courier New" w:hAnsi="Courier New" w:eastAsia="Yu Mincho Light" w:cs="Times New Roman"/>
      <w:kern w:val="0"/>
      <w:sz w:val="18"/>
      <w:szCs w:val="18"/>
      <w:lang w:val="en-GB"/>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3">
    <w:name w:val="TH Char"/>
    <w:link w:val="32"/>
    <w:qFormat/>
    <w:uiPriority w:val="0"/>
    <w:rPr>
      <w:rFonts w:ascii="Courier New" w:hAnsi="Courier New" w:eastAsia="Yu Mincho Light" w:cs="Times New Roman"/>
      <w:b/>
      <w:bCs/>
      <w:kern w:val="0"/>
      <w:sz w:val="20"/>
      <w:szCs w:val="20"/>
      <w:lang w:val="en-GB"/>
    </w:rPr>
  </w:style>
  <w:style w:type="paragraph" w:customStyle="1" w:styleId="34">
    <w:name w:val="TAH"/>
    <w:basedOn w:val="29"/>
    <w:link w:val="35"/>
    <w:qFormat/>
    <w:uiPriority w:val="0"/>
    <w:rPr>
      <w:b/>
      <w:bCs/>
    </w:rPr>
  </w:style>
  <w:style w:type="character" w:customStyle="1" w:styleId="35">
    <w:name w:val="TAH Car"/>
    <w:link w:val="34"/>
    <w:qFormat/>
    <w:uiPriority w:val="0"/>
    <w:rPr>
      <w:rFonts w:ascii="Courier New" w:hAnsi="Courier New" w:eastAsia="Yu Mincho Light" w:cs="Times New Roman"/>
      <w:b/>
      <w:bCs/>
      <w:kern w:val="0"/>
      <w:sz w:val="18"/>
      <w:szCs w:val="18"/>
      <w:lang w:val="en-GB"/>
    </w:rPr>
  </w:style>
  <w:style w:type="paragraph" w:customStyle="1" w:styleId="36">
    <w:name w:val="TAN"/>
    <w:basedOn w:val="1"/>
    <w:link w:val="37"/>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7">
    <w:name w:val="TAN Char"/>
    <w:link w:val="36"/>
    <w:qFormat/>
    <w:uiPriority w:val="0"/>
    <w:rPr>
      <w:rFonts w:ascii="Courier New" w:hAnsi="Courier New" w:eastAsia="Yu Mincho Light" w:cs="Times New Roman"/>
      <w:kern w:val="0"/>
      <w:sz w:val="18"/>
      <w:szCs w:val="18"/>
      <w:lang w:val="en-GB"/>
    </w:rPr>
  </w:style>
  <w:style w:type="character" w:customStyle="1" w:styleId="38">
    <w:name w:val="标题 2 字符"/>
    <w:link w:val="3"/>
    <w:qFormat/>
    <w:uiPriority w:val="0"/>
    <w:rPr>
      <w:rFonts w:ascii="Courier New" w:hAnsi="Courier New" w:eastAsia="Courier New" w:cs="Times New Roman"/>
      <w:kern w:val="0"/>
      <w:sz w:val="32"/>
      <w:szCs w:val="20"/>
      <w:lang w:val="en-GB" w:eastAsia="en-US"/>
    </w:rPr>
  </w:style>
  <w:style w:type="character" w:customStyle="1" w:styleId="39">
    <w:name w:val="标题 3 字符"/>
    <w:link w:val="4"/>
    <w:qFormat/>
    <w:uiPriority w:val="0"/>
    <w:rPr>
      <w:rFonts w:ascii="Courier New" w:hAnsi="Courier New" w:eastAsia="Courier New" w:cs="Times New Roman"/>
      <w:kern w:val="0"/>
      <w:sz w:val="28"/>
      <w:szCs w:val="20"/>
      <w:lang w:val="en-GB" w:eastAsia="en-US"/>
    </w:rPr>
  </w:style>
  <w:style w:type="character" w:customStyle="1" w:styleId="40">
    <w:name w:val="标题 4 字符"/>
    <w:link w:val="5"/>
    <w:qFormat/>
    <w:uiPriority w:val="0"/>
    <w:rPr>
      <w:rFonts w:ascii="Courier New" w:hAnsi="Courier New" w:eastAsia="Courier New" w:cs="Times New Roman"/>
      <w:kern w:val="0"/>
      <w:szCs w:val="20"/>
      <w:lang w:val="en-GB" w:eastAsia="en-US"/>
    </w:rPr>
  </w:style>
  <w:style w:type="character" w:customStyle="1" w:styleId="41">
    <w:name w:val="标题 5 字符"/>
    <w:link w:val="6"/>
    <w:qFormat/>
    <w:uiPriority w:val="0"/>
    <w:rPr>
      <w:rFonts w:ascii="Courier New" w:hAnsi="Courier New" w:eastAsia="Courier New" w:cs="Times New Roman"/>
      <w:kern w:val="0"/>
      <w:sz w:val="22"/>
      <w:szCs w:val="20"/>
      <w:lang w:val="en-GB" w:eastAsia="en-US"/>
    </w:rPr>
  </w:style>
  <w:style w:type="character" w:customStyle="1" w:styleId="42">
    <w:name w:val="标题 7 字符"/>
    <w:link w:val="7"/>
    <w:qFormat/>
    <w:uiPriority w:val="0"/>
    <w:rPr>
      <w:rFonts w:ascii="Courier New" w:hAnsi="Courier New" w:eastAsia="Courier New" w:cs="Times New Roman"/>
      <w:kern w:val="0"/>
      <w:sz w:val="20"/>
      <w:szCs w:val="20"/>
      <w:lang w:val="en-GB" w:eastAsia="en-US"/>
    </w:rPr>
  </w:style>
  <w:style w:type="character" w:customStyle="1" w:styleId="43">
    <w:name w:val="标题 8 字符"/>
    <w:link w:val="8"/>
    <w:qFormat/>
    <w:uiPriority w:val="0"/>
    <w:rPr>
      <w:rFonts w:ascii="Courier New" w:hAnsi="Courier New" w:eastAsia="Courier New" w:cs="Times New Roman"/>
      <w:kern w:val="0"/>
      <w:sz w:val="36"/>
      <w:szCs w:val="20"/>
      <w:lang w:val="en-GB" w:eastAsia="en-US"/>
    </w:rPr>
  </w:style>
  <w:style w:type="character" w:customStyle="1" w:styleId="44">
    <w:name w:val="标题 9 字符"/>
    <w:link w:val="9"/>
    <w:qFormat/>
    <w:uiPriority w:val="0"/>
    <w:rPr>
      <w:rFonts w:ascii="Courier New" w:hAnsi="Courier New" w:eastAsia="Courier New" w:cs="Times New Roman"/>
      <w:kern w:val="0"/>
      <w:sz w:val="36"/>
      <w:szCs w:val="20"/>
      <w:lang w:val="en-GB" w:eastAsia="en-US"/>
    </w:rPr>
  </w:style>
  <w:style w:type="paragraph" w:customStyle="1" w:styleId="45">
    <w:name w:val="彩色列表 - 强调文字颜色 11"/>
    <w:basedOn w:val="1"/>
    <w:qFormat/>
    <w:uiPriority w:val="34"/>
    <w:pPr>
      <w:ind w:firstLine="420" w:firstLineChars="200"/>
    </w:pPr>
    <w:rPr>
      <w:rFonts w:ascii="Yu Mincho Light" w:hAnsi="Yu Mincho Light"/>
      <w:sz w:val="20"/>
      <w:szCs w:val="20"/>
    </w:rPr>
  </w:style>
  <w:style w:type="paragraph" w:customStyle="1" w:styleId="46">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7">
    <w:name w:val="题注 字符"/>
    <w:link w:val="13"/>
    <w:qFormat/>
    <w:uiPriority w:val="0"/>
    <w:rPr>
      <w:rFonts w:ascii="Courier New" w:hAnsi="Courier New"/>
      <w:b/>
      <w:kern w:val="20"/>
      <w:sz w:val="16"/>
      <w:lang w:eastAsia="en-US" w:bidi="ar-SA"/>
    </w:rPr>
  </w:style>
  <w:style w:type="character" w:customStyle="1" w:styleId="48">
    <w:name w:val="批注框文本 字符"/>
    <w:link w:val="16"/>
    <w:semiHidden/>
    <w:qFormat/>
    <w:uiPriority w:val="99"/>
    <w:rPr>
      <w:rFonts w:ascii="Cambria Math" w:eastAsia="Cambria Math"/>
      <w:sz w:val="18"/>
      <w:szCs w:val="18"/>
    </w:rPr>
  </w:style>
  <w:style w:type="character" w:customStyle="1" w:styleId="49">
    <w:name w:val="页脚 字符"/>
    <w:link w:val="17"/>
    <w:qFormat/>
    <w:uiPriority w:val="99"/>
    <w:rPr>
      <w:sz w:val="18"/>
      <w:szCs w:val="18"/>
    </w:rPr>
  </w:style>
  <w:style w:type="character" w:customStyle="1" w:styleId="50">
    <w:name w:val="批注文字 字符"/>
    <w:basedOn w:val="23"/>
    <w:link w:val="15"/>
    <w:qFormat/>
    <w:uiPriority w:val="99"/>
  </w:style>
  <w:style w:type="character" w:customStyle="1" w:styleId="51">
    <w:name w:val="批注主题 字符"/>
    <w:link w:val="20"/>
    <w:semiHidden/>
    <w:qFormat/>
    <w:uiPriority w:val="99"/>
    <w:rPr>
      <w:b/>
      <w:bCs/>
    </w:rPr>
  </w:style>
  <w:style w:type="paragraph" w:customStyle="1" w:styleId="52">
    <w:name w:val="B1"/>
    <w:basedOn w:val="12"/>
    <w:link w:val="53"/>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3">
    <w:name w:val="B1 Char1"/>
    <w:link w:val="52"/>
    <w:qFormat/>
    <w:uiPriority w:val="0"/>
    <w:rPr>
      <w:rFonts w:ascii="Times New Roman" w:hAnsi="Times New Roman" w:eastAsia="Times New Roman" w:cs="Times New Roman"/>
      <w:kern w:val="0"/>
      <w:sz w:val="20"/>
      <w:szCs w:val="20"/>
      <w:lang w:val="en-GB" w:eastAsia="en-US"/>
    </w:rPr>
  </w:style>
  <w:style w:type="character" w:customStyle="1" w:styleId="54">
    <w:name w:val="B1 Char"/>
    <w:qFormat/>
    <w:locked/>
    <w:uiPriority w:val="0"/>
    <w:rPr>
      <w:lang w:val="en-GB"/>
    </w:rPr>
  </w:style>
  <w:style w:type="paragraph" w:customStyle="1" w:styleId="55">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6">
    <w:name w:val="首标题"/>
    <w:qFormat/>
    <w:uiPriority w:val="0"/>
    <w:rPr>
      <w:rFonts w:ascii="Courier New" w:hAnsi="Courier New" w:eastAsia="Yu Mincho Light"/>
      <w:sz w:val="24"/>
      <w:lang w:val="en-US" w:eastAsia="zh-CN" w:bidi="ar-SA"/>
    </w:rPr>
  </w:style>
  <w:style w:type="paragraph" w:customStyle="1" w:styleId="57">
    <w:name w:val="插图题注"/>
    <w:basedOn w:val="1"/>
    <w:qFormat/>
    <w:uiPriority w:val="0"/>
    <w:pPr>
      <w:spacing w:after="180"/>
    </w:pPr>
    <w:rPr>
      <w:sz w:val="20"/>
      <w:szCs w:val="20"/>
      <w:lang w:val="en-GB" w:eastAsia="en-US"/>
    </w:rPr>
  </w:style>
  <w:style w:type="paragraph" w:customStyle="1" w:styleId="58">
    <w:name w:val="表格题注"/>
    <w:basedOn w:val="1"/>
    <w:qFormat/>
    <w:uiPriority w:val="0"/>
    <w:pPr>
      <w:spacing w:after="180"/>
    </w:pPr>
    <w:rPr>
      <w:sz w:val="20"/>
      <w:szCs w:val="20"/>
      <w:lang w:val="en-GB" w:eastAsia="en-US"/>
    </w:rPr>
  </w:style>
  <w:style w:type="character" w:customStyle="1" w:styleId="59">
    <w:name w:val="TAL Car"/>
    <w:link w:val="30"/>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3"/>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3"/>
    <w:qFormat/>
    <w:uiPriority w:val="0"/>
  </w:style>
  <w:style w:type="paragraph" w:customStyle="1" w:styleId="86">
    <w:name w:val="Comments"/>
    <w:basedOn w:val="1"/>
    <w:link w:val="87"/>
    <w:qFormat/>
    <w:uiPriority w:val="0"/>
    <w:pPr>
      <w:spacing w:before="40"/>
    </w:pPr>
    <w:rPr>
      <w:rFonts w:ascii="Arial" w:hAnsi="Arial" w:eastAsia="MS Mincho"/>
      <w:i/>
      <w:sz w:val="18"/>
      <w:lang w:val="en-GB" w:eastAsia="en-GB"/>
    </w:rPr>
  </w:style>
  <w:style w:type="character" w:customStyle="1" w:styleId="87">
    <w:name w:val="Comments Char"/>
    <w:link w:val="86"/>
    <w:qFormat/>
    <w:uiPriority w:val="0"/>
    <w:rPr>
      <w:rFonts w:ascii="Arial" w:hAnsi="Arial" w:eastAsia="MS Mincho"/>
      <w:i/>
      <w:sz w:val="18"/>
      <w:szCs w:val="24"/>
      <w:lang w:val="en-GB" w:eastAsia="en-GB"/>
    </w:rPr>
  </w:style>
  <w:style w:type="paragraph" w:customStyle="1" w:styleId="88">
    <w:name w:val="B3"/>
    <w:basedOn w:val="10"/>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1416</Words>
  <Characters>8076</Characters>
  <Lines>67</Lines>
  <Paragraphs>18</Paragraphs>
  <TotalTime>0</TotalTime>
  <ScaleCrop>false</ScaleCrop>
  <LinksUpToDate>false</LinksUpToDate>
  <CharactersWithSpaces>9474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2024-04-08T10:18:56Z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3F7F152D7F8A40E285BF429EB61BAE41</vt:lpwstr>
  </property>
</Properties>
</file>